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A6426" w:rsidRPr="00D2049A" w:rsidTr="009971E6">
        <w:tc>
          <w:tcPr>
            <w:tcW w:w="9464" w:type="dxa"/>
          </w:tcPr>
          <w:p w:rsidR="008A6426" w:rsidRPr="00D2049A" w:rsidRDefault="006764DE" w:rsidP="006764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Lesprogramma </w:t>
            </w:r>
            <w:r w:rsidR="004144E7">
              <w:rPr>
                <w:b/>
                <w:sz w:val="28"/>
                <w:szCs w:val="28"/>
              </w:rPr>
              <w:t>Neus-maagsonde en PEG sonde</w:t>
            </w:r>
          </w:p>
        </w:tc>
      </w:tr>
      <w:tr w:rsidR="008A6426" w:rsidRPr="00D2049A" w:rsidTr="009971E6">
        <w:tc>
          <w:tcPr>
            <w:tcW w:w="9464" w:type="dxa"/>
            <w:shd w:val="clear" w:color="auto" w:fill="DEEAF6" w:themeFill="accent1" w:themeFillTint="33"/>
          </w:tcPr>
          <w:p w:rsidR="008A6426" w:rsidRPr="00D2049A" w:rsidRDefault="008A6426" w:rsidP="006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049A">
              <w:rPr>
                <w:b/>
                <w:sz w:val="28"/>
                <w:szCs w:val="28"/>
              </w:rPr>
              <w:t>L</w:t>
            </w:r>
            <w:r w:rsidR="006764DE">
              <w:rPr>
                <w:b/>
                <w:sz w:val="28"/>
                <w:szCs w:val="28"/>
              </w:rPr>
              <w:t>eerdoelen</w:t>
            </w:r>
            <w:r w:rsidRPr="00D2049A">
              <w:rPr>
                <w:b/>
                <w:sz w:val="28"/>
                <w:szCs w:val="28"/>
              </w:rPr>
              <w:t>:</w:t>
            </w:r>
          </w:p>
        </w:tc>
      </w:tr>
      <w:tr w:rsidR="008A6426" w:rsidRPr="00D2049A" w:rsidTr="009971E6">
        <w:tc>
          <w:tcPr>
            <w:tcW w:w="9464" w:type="dxa"/>
          </w:tcPr>
          <w:p w:rsidR="008A6426" w:rsidRDefault="008A6426" w:rsidP="00357DAC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</w:p>
          <w:p w:rsidR="0071517A" w:rsidRPr="0071517A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anatomie en de fysiologie v</w:t>
            </w:r>
            <w:r w:rsidR="000A66F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an het spijsverteringskanaal benoemen;</w:t>
            </w:r>
          </w:p>
          <w:p w:rsidR="0071517A" w:rsidRPr="0071517A" w:rsidRDefault="0071517A" w:rsidP="0071517A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weet wat de indicaties en co</w:t>
            </w:r>
            <w:r w:rsidR="004144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ntra-indicaties </w:t>
            </w:r>
            <w:r w:rsidR="000A66F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zijn voor </w:t>
            </w:r>
            <w:r w:rsidR="004144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het inbrengen en verzorgen</w:t>
            </w:r>
            <w:r w:rsidR="00E04F4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van een Neus-maagsonde en het verwisselen en verzorgen van een PEG sonde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;</w:t>
            </w:r>
          </w:p>
          <w:p w:rsidR="0071517A" w:rsidRPr="00E04F4F" w:rsidRDefault="0071517A" w:rsidP="00E04F4F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De deelnemer kan de complicaties benoemen </w:t>
            </w:r>
            <w:r w:rsidR="00E04F4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bij de Neus-maagsonde en PEG sonde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en weet hoe te handelen;</w:t>
            </w:r>
          </w:p>
          <w:p w:rsidR="006764DE" w:rsidRPr="006764DE" w:rsidRDefault="0071517A" w:rsidP="006764DE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aandachtspunten</w:t>
            </w:r>
            <w:r w:rsid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benoemen bij de voorbereiding</w:t>
            </w:r>
            <w:r w:rsidR="002C580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,</w:t>
            </w:r>
            <w:r w:rsidR="00525E5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uitvoering </w:t>
            </w:r>
            <w:r w:rsidR="002C580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en evaluatie </w:t>
            </w:r>
            <w:r w:rsidR="00525E5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van de handeling</w:t>
            </w:r>
            <w:r w:rsidR="00E04F4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en</w:t>
            </w:r>
            <w:r w:rsidR="00525E5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;</w:t>
            </w:r>
          </w:p>
          <w:p w:rsidR="006764DE" w:rsidRPr="006764DE" w:rsidRDefault="006764DE" w:rsidP="006764DE">
            <w:pPr>
              <w:pStyle w:val="Lijstalinea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De deelnemer kan de handeling</w:t>
            </w:r>
            <w:r w:rsidR="00E04F4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en inbrengen en verzorgen Neus-maagsonde en verwisselen en verzorgen van de PEG sonde</w:t>
            </w:r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voorbereiden, uitvoeren en evalueren volgens het </w:t>
            </w:r>
            <w:proofErr w:type="spellStart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>Vilans</w:t>
            </w:r>
            <w:proofErr w:type="spellEnd"/>
            <w:r w:rsidRPr="006764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  <w:t xml:space="preserve"> protocol.</w:t>
            </w:r>
          </w:p>
          <w:p w:rsidR="008A6426" w:rsidRPr="0055715A" w:rsidRDefault="008A6426" w:rsidP="006764DE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6426" w:rsidRDefault="008A6426" w:rsidP="008A6426">
      <w:pPr>
        <w:spacing w:after="0"/>
        <w:rPr>
          <w:b/>
          <w:sz w:val="24"/>
          <w:szCs w:val="24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1411"/>
        <w:gridCol w:w="1033"/>
        <w:gridCol w:w="2409"/>
        <w:gridCol w:w="3848"/>
      </w:tblGrid>
      <w:tr w:rsidR="008A6426" w:rsidRPr="00AF0C48" w:rsidTr="00132E9F">
        <w:trPr>
          <w:trHeight w:val="144"/>
        </w:trPr>
        <w:tc>
          <w:tcPr>
            <w:tcW w:w="9513" w:type="dxa"/>
            <w:gridSpan w:val="5"/>
            <w:shd w:val="clear" w:color="auto" w:fill="DEEAF6" w:themeFill="accent1" w:themeFillTint="33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0C48">
              <w:rPr>
                <w:b/>
                <w:sz w:val="28"/>
                <w:szCs w:val="28"/>
              </w:rPr>
              <w:t>Procedure:</w:t>
            </w:r>
          </w:p>
        </w:tc>
      </w:tr>
      <w:tr w:rsidR="008A6426" w:rsidRPr="00AF0C48" w:rsidTr="00132E9F">
        <w:trPr>
          <w:trHeight w:val="643"/>
        </w:trPr>
        <w:tc>
          <w:tcPr>
            <w:tcW w:w="812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Tij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444" w:type="dxa"/>
            <w:gridSpan w:val="2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Onderdeel</w:t>
            </w:r>
          </w:p>
        </w:tc>
        <w:tc>
          <w:tcPr>
            <w:tcW w:w="2409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Didactische werkvorm</w:t>
            </w:r>
          </w:p>
        </w:tc>
        <w:tc>
          <w:tcPr>
            <w:tcW w:w="3848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Deelnemer</w:t>
            </w:r>
            <w:r w:rsidRPr="00AF0C48">
              <w:rPr>
                <w:b/>
                <w:sz w:val="24"/>
                <w:szCs w:val="24"/>
              </w:rPr>
              <w:t>/docent activiteit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9971E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AD7125">
              <w:rPr>
                <w:rFonts w:ascii="Century Gothic" w:hAnsi="Century Gothic"/>
                <w:sz w:val="20"/>
                <w:szCs w:val="20"/>
              </w:rPr>
              <w:t xml:space="preserve">0 </w:t>
            </w:r>
            <w:r w:rsidR="006764DE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8A6426" w:rsidRDefault="006764DE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Theorie</w:t>
            </w:r>
            <w:r w:rsidR="00525E51">
              <w:rPr>
                <w:rFonts w:ascii="Century Gothic" w:hAnsi="Century Gothic"/>
                <w:sz w:val="20"/>
                <w:szCs w:val="20"/>
              </w:rPr>
              <w:t>/Voorbereiding</w:t>
            </w:r>
          </w:p>
          <w:p w:rsidR="009971E6" w:rsidRDefault="00BD62C6" w:rsidP="00E04F4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Modules: </w:t>
            </w:r>
          </w:p>
          <w:p w:rsidR="009971E6" w:rsidRPr="009971E6" w:rsidRDefault="00E04F4F" w:rsidP="009971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971E6">
              <w:rPr>
                <w:rFonts w:ascii="Century Gothic" w:hAnsi="Century Gothic"/>
                <w:sz w:val="20"/>
                <w:szCs w:val="20"/>
              </w:rPr>
              <w:t>Neus-maagsonde</w:t>
            </w:r>
            <w:proofErr w:type="spellEnd"/>
            <w:r w:rsidR="009971E6">
              <w:rPr>
                <w:rFonts w:ascii="Century Gothic" w:hAnsi="Century Gothic"/>
                <w:sz w:val="20"/>
                <w:szCs w:val="20"/>
              </w:rPr>
              <w:t xml:space="preserve"> (60 min)</w:t>
            </w:r>
          </w:p>
          <w:p w:rsidR="00BD62C6" w:rsidRPr="009971E6" w:rsidRDefault="00E04F4F" w:rsidP="009971E6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971E6">
              <w:rPr>
                <w:rFonts w:ascii="Century Gothic" w:hAnsi="Century Gothic"/>
                <w:sz w:val="20"/>
                <w:szCs w:val="20"/>
              </w:rPr>
              <w:t>PEG sonde</w:t>
            </w:r>
            <w:r w:rsidR="009971E6">
              <w:rPr>
                <w:rFonts w:ascii="Century Gothic" w:hAnsi="Century Gothic"/>
                <w:sz w:val="20"/>
                <w:szCs w:val="20"/>
              </w:rPr>
              <w:t xml:space="preserve"> (60 min)</w:t>
            </w:r>
          </w:p>
        </w:tc>
        <w:tc>
          <w:tcPr>
            <w:tcW w:w="2409" w:type="dxa"/>
          </w:tcPr>
          <w:p w:rsidR="008A6426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toets</w:t>
            </w:r>
          </w:p>
        </w:tc>
        <w:tc>
          <w:tcPr>
            <w:tcW w:w="3848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 deelnemer doorloopt voorafgaand aan de praktijktraining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en maakt een theoretische toets.</w:t>
            </w:r>
          </w:p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4DE" w:rsidRPr="00AF0C48" w:rsidTr="00132E9F">
        <w:trPr>
          <w:trHeight w:val="184"/>
        </w:trPr>
        <w:tc>
          <w:tcPr>
            <w:tcW w:w="812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min</w:t>
            </w:r>
          </w:p>
        </w:tc>
        <w:tc>
          <w:tcPr>
            <w:tcW w:w="2444" w:type="dxa"/>
            <w:gridSpan w:val="2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Inleiding</w:t>
            </w:r>
          </w:p>
        </w:tc>
        <w:tc>
          <w:tcPr>
            <w:tcW w:w="2409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Kennismaken</w:t>
            </w:r>
          </w:p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Doel van de les en programma toelichten.</w:t>
            </w:r>
          </w:p>
        </w:tc>
        <w:tc>
          <w:tcPr>
            <w:tcW w:w="3848" w:type="dxa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 docent licht het doel en programma toe.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8A6426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52395">
              <w:rPr>
                <w:rFonts w:ascii="Century Gothic" w:hAnsi="Century Gothic"/>
                <w:sz w:val="20"/>
                <w:szCs w:val="20"/>
              </w:rPr>
              <w:t>0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Terugblik op theorie</w:t>
            </w:r>
          </w:p>
        </w:tc>
        <w:tc>
          <w:tcPr>
            <w:tcW w:w="2409" w:type="dxa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Onderwijsleergesprek</w:t>
            </w:r>
          </w:p>
        </w:tc>
        <w:tc>
          <w:tcPr>
            <w:tcW w:w="3848" w:type="dxa"/>
          </w:tcPr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Vragen beantwoorden naar aanleiding van de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764DE"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 w:rsidR="006764DE">
              <w:rPr>
                <w:rFonts w:ascii="Century Gothic" w:hAnsi="Century Gothic"/>
                <w:sz w:val="20"/>
                <w:szCs w:val="20"/>
              </w:rPr>
              <w:t xml:space="preserve"> module.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Docent gaat in op de aandachtspunten en complicaties tijdens de handeling.</w:t>
            </w:r>
          </w:p>
        </w:tc>
      </w:tr>
      <w:tr w:rsidR="00525E51" w:rsidRPr="00564B48" w:rsidTr="00132E9F">
        <w:trPr>
          <w:trHeight w:val="144"/>
        </w:trPr>
        <w:tc>
          <w:tcPr>
            <w:tcW w:w="812" w:type="dxa"/>
          </w:tcPr>
          <w:p w:rsidR="00525E51" w:rsidRPr="0055715A" w:rsidRDefault="009971E6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De docent geeft, als daar vraag naar is, een demonstratie 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Demonstratie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de verschillende </w:t>
            </w:r>
            <w:r w:rsidR="00E04F4F">
              <w:rPr>
                <w:rFonts w:ascii="Century Gothic" w:hAnsi="Century Gothic"/>
                <w:sz w:val="20"/>
                <w:szCs w:val="20"/>
              </w:rPr>
              <w:t>handelingen.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demonstreert de handeling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stelt vragen aan de deelnemers.</w:t>
            </w:r>
          </w:p>
        </w:tc>
      </w:tr>
      <w:tr w:rsidR="00525E51" w:rsidRPr="00AF0C48" w:rsidTr="00132E9F">
        <w:trPr>
          <w:trHeight w:val="144"/>
        </w:trPr>
        <w:tc>
          <w:tcPr>
            <w:tcW w:w="812" w:type="dxa"/>
          </w:tcPr>
          <w:p w:rsidR="00525E51" w:rsidRPr="0055715A" w:rsidRDefault="00452395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  <w:r w:rsidR="00E52E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25E51" w:rsidRPr="00FB35F6" w:rsidRDefault="00525E51" w:rsidP="00525E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Oefenen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5E51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B35F6">
              <w:rPr>
                <w:rFonts w:ascii="Century Gothic" w:hAnsi="Century Gothic"/>
                <w:sz w:val="20"/>
                <w:szCs w:val="20"/>
              </w:rPr>
              <w:t>Oefenen van de handeling</w:t>
            </w:r>
            <w:r>
              <w:rPr>
                <w:rFonts w:ascii="Century Gothic" w:hAnsi="Century Gothic"/>
                <w:sz w:val="20"/>
                <w:szCs w:val="20"/>
              </w:rPr>
              <w:t>en: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Voorbereiden handeling</w:t>
            </w:r>
          </w:p>
          <w:p w:rsidR="00E04F4F" w:rsidRPr="000A66F7" w:rsidRDefault="002C5801" w:rsidP="000A66F7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Inlichten cliënt</w:t>
            </w:r>
          </w:p>
          <w:p w:rsidR="00E04F4F" w:rsidRDefault="000A66F7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Uitvoeren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Nazorg</w:t>
            </w:r>
          </w:p>
          <w:p w:rsidR="00525E51" w:rsidRPr="00951E1B" w:rsidRDefault="00525E51" w:rsidP="00525E51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zet de materialen klaar, de deelnemers pakken de benodigde materialen en oefenen de handeling. met behulp van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observatielijsten van </w:t>
            </w:r>
            <w:proofErr w:type="spellStart"/>
            <w:r w:rsidRPr="0055715A">
              <w:rPr>
                <w:rFonts w:ascii="Century Gothic" w:hAnsi="Century Gothic"/>
                <w:sz w:val="20"/>
                <w:szCs w:val="20"/>
              </w:rPr>
              <w:t>Vilans</w:t>
            </w:r>
            <w:proofErr w:type="spellEnd"/>
            <w:r w:rsidRPr="0055715A">
              <w:rPr>
                <w:rFonts w:ascii="Century Gothic" w:hAnsi="Century Gothic"/>
                <w:sz w:val="20"/>
                <w:szCs w:val="20"/>
              </w:rPr>
              <w:t>. Eén persoon is de observator en geeft feedback op de uitvoering van de handeling. De docent bewaakt het proces en stuurt waar nodig bij.</w:t>
            </w:r>
          </w:p>
        </w:tc>
      </w:tr>
      <w:tr w:rsidR="00525E51" w:rsidRPr="00AF0C48" w:rsidTr="00132E9F">
        <w:trPr>
          <w:trHeight w:val="1470"/>
        </w:trPr>
        <w:tc>
          <w:tcPr>
            <w:tcW w:w="812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55715A">
              <w:rPr>
                <w:rFonts w:ascii="Century Gothic" w:hAnsi="Century Gothic"/>
                <w:sz w:val="20"/>
                <w:szCs w:val="20"/>
              </w:rPr>
              <w:t>0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deelnemers toetsen elkaar op de handelingen in 2 tallen. De een voert de handeling uit en de ander vult de observatielijst in en 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eeft feedback op de handeling.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De docent bewaakt het proces.</w:t>
            </w:r>
          </w:p>
        </w:tc>
      </w:tr>
      <w:tr w:rsidR="00525E51" w:rsidRPr="00AF0C48" w:rsidTr="00132E9F">
        <w:trPr>
          <w:trHeight w:val="15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452395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Evaluatie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Groepsgesprek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Uitwisselen ervaringen van het oefenen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toetsen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en mening over de les ventileren.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ij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voldoende beoordeling wordt direct het certificaat uitgereikt aan de deelnemers.</w:t>
            </w:r>
          </w:p>
        </w:tc>
      </w:tr>
      <w:tr w:rsidR="009971E6" w:rsidRPr="00FB35F6" w:rsidTr="00B44B12">
        <w:trPr>
          <w:trHeight w:val="585"/>
        </w:trPr>
        <w:tc>
          <w:tcPr>
            <w:tcW w:w="2223" w:type="dxa"/>
            <w:gridSpan w:val="2"/>
          </w:tcPr>
          <w:p w:rsidR="009971E6" w:rsidRPr="00FB35F6" w:rsidRDefault="009971E6" w:rsidP="00B44B1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tijd praktijkbijeenkomst</w:t>
            </w:r>
          </w:p>
        </w:tc>
        <w:tc>
          <w:tcPr>
            <w:tcW w:w="7290" w:type="dxa"/>
            <w:gridSpan w:val="3"/>
          </w:tcPr>
          <w:p w:rsidR="009971E6" w:rsidRDefault="00452395" w:rsidP="009971E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  <w:r w:rsidR="009971E6">
              <w:rPr>
                <w:rFonts w:ascii="Century Gothic" w:hAnsi="Century Gothic"/>
                <w:sz w:val="20"/>
                <w:szCs w:val="20"/>
              </w:rPr>
              <w:t xml:space="preserve"> minuten</w:t>
            </w:r>
          </w:p>
        </w:tc>
      </w:tr>
      <w:tr w:rsidR="009971E6" w:rsidRPr="00FB35F6" w:rsidTr="00B44B12">
        <w:trPr>
          <w:trHeight w:val="585"/>
        </w:trPr>
        <w:tc>
          <w:tcPr>
            <w:tcW w:w="2223" w:type="dxa"/>
            <w:gridSpan w:val="2"/>
          </w:tcPr>
          <w:p w:rsidR="009971E6" w:rsidRPr="00FB35F6" w:rsidRDefault="009971E6" w:rsidP="00B44B1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Totale tijd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praktijkbijeenk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3"/>
          </w:tcPr>
          <w:p w:rsidR="009971E6" w:rsidRDefault="009971E6" w:rsidP="0045239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52395">
              <w:rPr>
                <w:rFonts w:ascii="Century Gothic" w:hAnsi="Century Gothic"/>
                <w:sz w:val="20"/>
                <w:szCs w:val="20"/>
              </w:rPr>
              <w:t>40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minuten = 4 uur</w:t>
            </w:r>
          </w:p>
        </w:tc>
      </w:tr>
      <w:tr w:rsidR="00525E51" w:rsidRPr="00FB35F6" w:rsidTr="00132E9F">
        <w:trPr>
          <w:trHeight w:val="585"/>
        </w:trPr>
        <w:tc>
          <w:tcPr>
            <w:tcW w:w="2223" w:type="dxa"/>
            <w:gridSpan w:val="2"/>
          </w:tcPr>
          <w:p w:rsidR="00525E51" w:rsidRPr="00FB35F6" w:rsidRDefault="00525E51" w:rsidP="00525E5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B35F6">
              <w:rPr>
                <w:rFonts w:ascii="Century Gothic" w:hAnsi="Century Gothic"/>
                <w:b/>
                <w:sz w:val="20"/>
                <w:szCs w:val="20"/>
              </w:rPr>
              <w:t>Benodigdheden</w:t>
            </w:r>
          </w:p>
        </w:tc>
        <w:tc>
          <w:tcPr>
            <w:tcW w:w="7290" w:type="dxa"/>
            <w:gridSpan w:val="3"/>
          </w:tcPr>
          <w:p w:rsidR="00525E51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Neus-maagsonde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Bekkentje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Water en bekertje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Tissues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Veiligheidsspeld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Niet steriele handschoenen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Stift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Leukopor</w:t>
            </w:r>
            <w:proofErr w:type="spellEnd"/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NEX-index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PEG-sonde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Gazen/splitgazen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PH- indicator strips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 ml spuit</w:t>
            </w:r>
          </w:p>
          <w:p w:rsid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ml spuit, steriel water</w:t>
            </w:r>
          </w:p>
          <w:p w:rsidR="000A66F7" w:rsidRPr="000A66F7" w:rsidRDefault="000A66F7" w:rsidP="000A66F7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Onderlegger</w:t>
            </w:r>
            <w:bookmarkStart w:id="0" w:name="_GoBack"/>
            <w:bookmarkEnd w:id="0"/>
          </w:p>
        </w:tc>
      </w:tr>
    </w:tbl>
    <w:p w:rsidR="008A6426" w:rsidRPr="00D96045" w:rsidRDefault="008A6426" w:rsidP="008A6426">
      <w:pPr>
        <w:spacing w:after="0"/>
        <w:rPr>
          <w:sz w:val="24"/>
          <w:szCs w:val="24"/>
        </w:rPr>
      </w:pPr>
    </w:p>
    <w:p w:rsidR="00275087" w:rsidRDefault="00E52EB4">
      <w:pPr>
        <w:rPr>
          <w:b/>
        </w:rPr>
      </w:pPr>
      <w:r>
        <w:rPr>
          <w:b/>
        </w:rPr>
        <w:t>Literatuur:</w:t>
      </w:r>
    </w:p>
    <w:p w:rsidR="00E04F4F" w:rsidRPr="00B95D1D" w:rsidRDefault="00E04F4F" w:rsidP="00E04F4F">
      <w:pPr>
        <w:pStyle w:val="Lijstalinea"/>
        <w:numPr>
          <w:ilvl w:val="0"/>
          <w:numId w:val="8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Nicolien van </w:t>
      </w:r>
      <w:proofErr w:type="spellStart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Halem</w:t>
      </w:r>
      <w:proofErr w:type="spellEnd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 &amp; IJ.D. </w:t>
      </w:r>
      <w:proofErr w:type="spellStart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Jungen</w:t>
      </w:r>
      <w:proofErr w:type="spellEnd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, Anatomie en fysiologie (2009) </w:t>
      </w:r>
    </w:p>
    <w:p w:rsidR="00E04F4F" w:rsidRPr="00B95D1D" w:rsidRDefault="00E04F4F" w:rsidP="00E04F4F">
      <w:pPr>
        <w:pStyle w:val="Lijstalinea"/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J. </w:t>
      </w:r>
      <w:proofErr w:type="spellStart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Glerum</w:t>
      </w:r>
      <w:proofErr w:type="spellEnd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, A. de Reuver &amp; </w:t>
      </w:r>
      <w:proofErr w:type="spellStart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C.Wall</w:t>
      </w:r>
      <w:proofErr w:type="spellEnd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, Medisch technisch handelen, diagnostiek en onderzoek (2002) </w:t>
      </w:r>
    </w:p>
    <w:p w:rsidR="00E04F4F" w:rsidRPr="00B95D1D" w:rsidRDefault="00E04F4F" w:rsidP="00E04F4F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K. Kok, Anatomie, fysiologie en pathologie (2012)</w:t>
      </w:r>
    </w:p>
    <w:p w:rsidR="00E04F4F" w:rsidRPr="00B95D1D" w:rsidRDefault="00E04F4F" w:rsidP="00E04F4F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Sandra F. Smith, Donna </w:t>
      </w:r>
      <w:proofErr w:type="spellStart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Duell</w:t>
      </w:r>
      <w:proofErr w:type="spellEnd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 &amp; Barbara C. Martin, Verpleegkundige vaardigheden - Deel 1 (2011)</w:t>
      </w:r>
    </w:p>
    <w:p w:rsidR="00E04F4F" w:rsidRPr="00B95D1D" w:rsidRDefault="00E04F4F" w:rsidP="00E04F4F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proofErr w:type="spellStart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>Vilans</w:t>
      </w:r>
      <w:proofErr w:type="spellEnd"/>
      <w:r w:rsidRPr="00B95D1D">
        <w:rPr>
          <w:rFonts w:ascii="Century Gothic" w:eastAsia="Times New Roman" w:hAnsi="Century Gothic"/>
          <w:sz w:val="20"/>
          <w:szCs w:val="20"/>
          <w:lang w:eastAsia="nl-NL"/>
        </w:rPr>
        <w:t xml:space="preserve"> protocollen</w:t>
      </w:r>
    </w:p>
    <w:p w:rsidR="00E52EB4" w:rsidRPr="00B95D1D" w:rsidRDefault="00E52EB4">
      <w:pPr>
        <w:rPr>
          <w:b/>
        </w:rPr>
      </w:pPr>
    </w:p>
    <w:sectPr w:rsidR="00E52EB4" w:rsidRPr="00B95D1D" w:rsidSect="0042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FEC"/>
    <w:multiLevelType w:val="hybridMultilevel"/>
    <w:tmpl w:val="F01616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15032"/>
    <w:multiLevelType w:val="multilevel"/>
    <w:tmpl w:val="8E66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91584B"/>
    <w:multiLevelType w:val="multilevel"/>
    <w:tmpl w:val="0DC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B73B2"/>
    <w:multiLevelType w:val="hybridMultilevel"/>
    <w:tmpl w:val="86284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D0E48"/>
    <w:multiLevelType w:val="hybridMultilevel"/>
    <w:tmpl w:val="1966A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261BF"/>
    <w:multiLevelType w:val="hybridMultilevel"/>
    <w:tmpl w:val="62BE80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47B3A"/>
    <w:multiLevelType w:val="hybridMultilevel"/>
    <w:tmpl w:val="799E1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00C7E"/>
    <w:multiLevelType w:val="hybridMultilevel"/>
    <w:tmpl w:val="AD2E4B4A"/>
    <w:lvl w:ilvl="0" w:tplc="AFBE827A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003"/>
    <w:multiLevelType w:val="hybridMultilevel"/>
    <w:tmpl w:val="314813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81189"/>
    <w:multiLevelType w:val="hybridMultilevel"/>
    <w:tmpl w:val="DC9C0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426"/>
    <w:rsid w:val="000A66F7"/>
    <w:rsid w:val="00132E9F"/>
    <w:rsid w:val="001E26F8"/>
    <w:rsid w:val="001F7BEB"/>
    <w:rsid w:val="00206531"/>
    <w:rsid w:val="002829B3"/>
    <w:rsid w:val="002C5801"/>
    <w:rsid w:val="004144E7"/>
    <w:rsid w:val="00452395"/>
    <w:rsid w:val="00483FC9"/>
    <w:rsid w:val="00525E51"/>
    <w:rsid w:val="0052615E"/>
    <w:rsid w:val="006764DE"/>
    <w:rsid w:val="0071517A"/>
    <w:rsid w:val="007C7CC3"/>
    <w:rsid w:val="008A6426"/>
    <w:rsid w:val="009300F0"/>
    <w:rsid w:val="0094667C"/>
    <w:rsid w:val="009971E6"/>
    <w:rsid w:val="00AD7125"/>
    <w:rsid w:val="00B95D1D"/>
    <w:rsid w:val="00BD62C6"/>
    <w:rsid w:val="00E04F4F"/>
    <w:rsid w:val="00E5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26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13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4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32E9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 schulten</dc:creator>
  <cp:lastModifiedBy>Nadine</cp:lastModifiedBy>
  <cp:revision>8</cp:revision>
  <dcterms:created xsi:type="dcterms:W3CDTF">2016-02-04T18:26:00Z</dcterms:created>
  <dcterms:modified xsi:type="dcterms:W3CDTF">2016-02-11T22:23:00Z</dcterms:modified>
</cp:coreProperties>
</file>